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2FD4E" w14:textId="77777777" w:rsidR="004F3DA5" w:rsidRDefault="00D30A4E">
      <w:pPr>
        <w:rPr>
          <w:u w:val="single"/>
        </w:rPr>
      </w:pPr>
      <w:r w:rsidRPr="00D30A4E">
        <w:rPr>
          <w:u w:val="single"/>
        </w:rPr>
        <w:t>Entwurf zur Abstimmung</w:t>
      </w:r>
    </w:p>
    <w:p w14:paraId="0C2C646B" w14:textId="77777777" w:rsidR="00D30A4E" w:rsidRDefault="00D30A4E">
      <w:pPr>
        <w:rPr>
          <w:u w:val="single"/>
        </w:rPr>
      </w:pPr>
    </w:p>
    <w:p w14:paraId="1E151080" w14:textId="77777777" w:rsidR="00D30A4E" w:rsidRDefault="00D30A4E">
      <w:r>
        <w:t>Pressemitteilung Sanierung Bühnen Köln</w:t>
      </w:r>
    </w:p>
    <w:p w14:paraId="2926B7BF" w14:textId="77777777" w:rsidR="00D30A4E" w:rsidRPr="00D30A4E" w:rsidRDefault="00D30A4E">
      <w:pPr>
        <w:rPr>
          <w:b/>
        </w:rPr>
      </w:pPr>
    </w:p>
    <w:p w14:paraId="4D63EB89" w14:textId="77777777" w:rsidR="00D30A4E" w:rsidRDefault="00D30A4E">
      <w:pPr>
        <w:rPr>
          <w:b/>
        </w:rPr>
      </w:pPr>
      <w:r w:rsidRPr="00D30A4E">
        <w:rPr>
          <w:b/>
        </w:rPr>
        <w:t>Monatsbericht Dezember</w:t>
      </w:r>
      <w:r w:rsidR="007B663A">
        <w:rPr>
          <w:b/>
        </w:rPr>
        <w:t xml:space="preserve"> 2019</w:t>
      </w:r>
      <w:r w:rsidRPr="00D30A4E">
        <w:rPr>
          <w:b/>
        </w:rPr>
        <w:t xml:space="preserve">: </w:t>
      </w:r>
      <w:r w:rsidR="00CE56F5">
        <w:rPr>
          <w:b/>
        </w:rPr>
        <w:t>Ausführungsplanung im Opernhaus kann beginnen</w:t>
      </w:r>
    </w:p>
    <w:p w14:paraId="0D4FB5BF" w14:textId="77777777" w:rsidR="00D30A4E" w:rsidRDefault="00D30A4E">
      <w:pPr>
        <w:rPr>
          <w:i/>
        </w:rPr>
      </w:pPr>
      <w:r>
        <w:rPr>
          <w:i/>
        </w:rPr>
        <w:t>Planer und Objektüberwacher legen Konzept zur Reduzierung des Planungsverzugs vor</w:t>
      </w:r>
    </w:p>
    <w:p w14:paraId="45FC2519" w14:textId="77777777" w:rsidR="00D30A4E" w:rsidRDefault="00D30A4E">
      <w:pPr>
        <w:rPr>
          <w:i/>
        </w:rPr>
      </w:pPr>
    </w:p>
    <w:p w14:paraId="7527F936" w14:textId="463DCC02" w:rsidR="00D30A4E" w:rsidRDefault="00D30A4E">
      <w:r>
        <w:t xml:space="preserve">Laut Monatsbericht Dezember wurde die Entwurfsplanung </w:t>
      </w:r>
      <w:r w:rsidR="00310274">
        <w:t xml:space="preserve">des Opernhauses soweit </w:t>
      </w:r>
      <w:r w:rsidR="00175465">
        <w:t>abgeschlossen</w:t>
      </w:r>
      <w:r w:rsidR="00310274">
        <w:t xml:space="preserve">, dass </w:t>
      </w:r>
      <w:r w:rsidR="00175465">
        <w:t>die sich anschließenden Projektphasen beginnen können</w:t>
      </w:r>
      <w:r>
        <w:t>. Nun kann</w:t>
      </w:r>
      <w:r w:rsidR="00175465">
        <w:t xml:space="preserve"> wie im Schauspielhaus, in der Kinderoper und im Kleinen Haus</w:t>
      </w:r>
      <w:r>
        <w:t xml:space="preserve"> auch im Opernhaus der Fokus auf die Ausführungsplanung gelegt werden, deren Verzug, wie</w:t>
      </w:r>
      <w:r w:rsidR="00731267">
        <w:t xml:space="preserve"> bereits</w:t>
      </w:r>
      <w:r>
        <w:t xml:space="preserve"> im Monatsbericht November 2019 </w:t>
      </w:r>
      <w:r w:rsidR="000C546C">
        <w:t>berichtet</w:t>
      </w:r>
      <w:r>
        <w:t xml:space="preserve">, aktuell bei 14 Wochen liegt. </w:t>
      </w:r>
    </w:p>
    <w:p w14:paraId="19907140" w14:textId="77777777" w:rsidR="00B77F45" w:rsidRDefault="00B77F45"/>
    <w:p w14:paraId="555555A0" w14:textId="77777777" w:rsidR="00CF0074" w:rsidRDefault="00D30A4E">
      <w:r>
        <w:t xml:space="preserve">Wie angekündigt haben die Planer und die Objektüberwacher im Dezember den Bühnen ein Konzept zur Reduzierung des </w:t>
      </w:r>
      <w:r w:rsidR="000C546C">
        <w:t>Zeitv</w:t>
      </w:r>
      <w:r>
        <w:t xml:space="preserve">erzugs vorgelegt. </w:t>
      </w:r>
      <w:r w:rsidR="00B77F45">
        <w:t xml:space="preserve">Dieses sieht die Aufteilung der Ausführungsplanung in zwei Planpakete vor. Das erste Planpaket soll wie ursprünglich geplant im 2. Quartal des Jahres abgeschlossen sein und die Elemente enthalten, die für </w:t>
      </w:r>
      <w:r w:rsidR="00ED32CB">
        <w:t xml:space="preserve">die </w:t>
      </w:r>
      <w:r w:rsidR="00B77F45">
        <w:t>sich anschließenden Projektphasen (u.a. die Werk-</w:t>
      </w:r>
      <w:r w:rsidR="003E2C1E">
        <w:t xml:space="preserve"> </w:t>
      </w:r>
      <w:r w:rsidR="00B77F45">
        <w:t>und Mon</w:t>
      </w:r>
      <w:r w:rsidR="00ED32CB">
        <w:t xml:space="preserve">tageplanung der Firmen) unerlässlich sind. Das zweite Planpaket soll am </w:t>
      </w:r>
      <w:r w:rsidR="00542975">
        <w:t>25</w:t>
      </w:r>
      <w:r w:rsidR="00ED32CB">
        <w:t>.08.2020 vorliegen.</w:t>
      </w:r>
    </w:p>
    <w:p w14:paraId="45C2CFDD" w14:textId="77777777" w:rsidR="00CF0074" w:rsidRDefault="00CF0074"/>
    <w:p w14:paraId="5DAD2AF9" w14:textId="61E07A4F" w:rsidR="00CF0074" w:rsidRDefault="00CF0074">
      <w:r>
        <w:t>„</w:t>
      </w:r>
      <w:r w:rsidR="003E2C1E">
        <w:t>Aktuell wird das Konzept intensiv geprüft“,</w:t>
      </w:r>
      <w:r>
        <w:t xml:space="preserve"> erläutert der Technische Betriebsleiter Bernd Streitberger. „Das Verzugsrisiko der 14 Wochen bleibt</w:t>
      </w:r>
      <w:r w:rsidR="00125EC6">
        <w:t xml:space="preserve"> vorerst</w:t>
      </w:r>
      <w:r>
        <w:t xml:space="preserve"> in den Risiken ausgewiesen. </w:t>
      </w:r>
      <w:r w:rsidRPr="00CF0074">
        <w:t xml:space="preserve">Sollten die Arbeiten </w:t>
      </w:r>
      <w:r w:rsidR="001D0CC6">
        <w:t xml:space="preserve">nach unserer Entscheidung </w:t>
      </w:r>
      <w:r w:rsidRPr="00CF0074">
        <w:t>wie von den Planern vorgeschlagen umgesetzt werden</w:t>
      </w:r>
      <w:r w:rsidR="003E2C1E">
        <w:t xml:space="preserve"> können</w:t>
      </w:r>
      <w:r w:rsidRPr="00CF0074">
        <w:t xml:space="preserve">, wird der Fortgang </w:t>
      </w:r>
      <w:r w:rsidR="001D0CC6">
        <w:t>durch regelmäßig anstehende Meilensteine</w:t>
      </w:r>
      <w:r w:rsidRPr="00CF0074">
        <w:t xml:space="preserve"> überprüft und dokumentiert. Die aus dem Verzug resultierenden Kostenrisiken werden erst </w:t>
      </w:r>
      <w:r w:rsidR="006D22EE">
        <w:t xml:space="preserve">dann </w:t>
      </w:r>
      <w:r w:rsidRPr="00CF0074">
        <w:t>aufgelöst, wenn der Aufholprozess tatsächlich erfolgreich war</w:t>
      </w:r>
      <w:r>
        <w:t>“, so Streitberger. Die Bühnen halten weiterhin an der Schlüsselübergabe im 2. Quartal 2023 fest</w:t>
      </w:r>
      <w:r w:rsidR="00C819A8">
        <w:t>, sofern das Verzugsrisiko wie beschrieben aufgelöst werden kann</w:t>
      </w:r>
      <w:r w:rsidR="006D22EE">
        <w:t>. „Die Zielgerade der Entwurfsplanung war für alle Beteiligten ein Kraftakt</w:t>
      </w:r>
      <w:r w:rsidR="00AB6FB8">
        <w:t>, der uns enorm gefordert hat</w:t>
      </w:r>
      <w:r w:rsidR="006D22EE">
        <w:t>“, bilanziert Streitberger. „Nun können sich die Planer mit alle</w:t>
      </w:r>
      <w:r w:rsidR="003E2C1E">
        <w:t>r</w:t>
      </w:r>
      <w:r w:rsidR="006D22EE">
        <w:t xml:space="preserve"> Energie auf die Ausführungsplanung konzentrieren und wir werden </w:t>
      </w:r>
      <w:r w:rsidR="00AB6FB8">
        <w:t xml:space="preserve">dabei </w:t>
      </w:r>
      <w:r w:rsidR="006D22EE">
        <w:t xml:space="preserve">kontinuierlich prüfen, wie sich die Terminlage entwickelt. Ein Zwischenfazit hinsichtlich der Schlüsselübergabe werden wir </w:t>
      </w:r>
      <w:r w:rsidR="007B663A">
        <w:t xml:space="preserve">frühestens </w:t>
      </w:r>
      <w:r w:rsidR="006D22EE">
        <w:t xml:space="preserve">im Sommer ziehen können, wenn wir </w:t>
      </w:r>
      <w:r w:rsidR="00AB6FB8">
        <w:t xml:space="preserve">die Entwicklung der Ausführungsplanung genauer kennen und </w:t>
      </w:r>
      <w:r w:rsidR="006D22EE">
        <w:t xml:space="preserve">auch wissen, wie sich der Vergabeprozess für die fünf </w:t>
      </w:r>
      <w:r w:rsidR="006127AD">
        <w:t>auszuschreibenden haustechnischen Gewerke entwickelt“.</w:t>
      </w:r>
    </w:p>
    <w:p w14:paraId="57567C8E" w14:textId="77777777" w:rsidR="006127AD" w:rsidRDefault="006127AD"/>
    <w:p w14:paraId="2BF53538" w14:textId="77777777" w:rsidR="006127AD" w:rsidRDefault="006127AD">
      <w:r>
        <w:t xml:space="preserve">Sämtliche für die Ausschreibungen notwendigen Unterlagen wurden im Dezember finalisiert und </w:t>
      </w:r>
      <w:r w:rsidR="000C546C">
        <w:t>werden</w:t>
      </w:r>
      <w:r>
        <w:t xml:space="preserve"> im Januar 2020 auf der europäischen Vergabeplattform Ted veröffentlicht.</w:t>
      </w:r>
    </w:p>
    <w:p w14:paraId="790772D1" w14:textId="77777777" w:rsidR="006127AD" w:rsidRDefault="006127AD"/>
    <w:p w14:paraId="2DCCB516" w14:textId="7DD2BEF7" w:rsidR="00D30A4E" w:rsidRDefault="006127AD">
      <w:r>
        <w:t xml:space="preserve">Trotz des weiterhin aufgeführten Verzugsrisikos von 14 </w:t>
      </w:r>
      <w:r w:rsidR="000C546C">
        <w:t>Wochen</w:t>
      </w:r>
      <w:r>
        <w:t xml:space="preserve"> sank</w:t>
      </w:r>
      <w:r w:rsidR="00AB6FB8">
        <w:t xml:space="preserve"> die Ko</w:t>
      </w:r>
      <w:r w:rsidR="000C546C">
        <w:t>s</w:t>
      </w:r>
      <w:r w:rsidR="00AB6FB8">
        <w:t xml:space="preserve">tenprognose um zwei Millionen Euro. Grund dafür sind Rückstellungen, die </w:t>
      </w:r>
      <w:r w:rsidR="000C546C">
        <w:t xml:space="preserve">teilweise aufgelöst und teilweise </w:t>
      </w:r>
      <w:r w:rsidR="00AB6FB8">
        <w:t>in Verpflichtungen überführt werden konnten. Diese weisen, wie auch die Auszahlungen, einen Anstieg von rund drei Millionen Euro aus, was dem bekannten Muster der Vormonate entspricht.</w:t>
      </w:r>
    </w:p>
    <w:p w14:paraId="214BDBE5" w14:textId="77777777" w:rsidR="005508CF" w:rsidRDefault="005508CF"/>
    <w:p w14:paraId="763F9DEE" w14:textId="4DBDBF9E" w:rsidR="005508CF" w:rsidRDefault="005508CF">
      <w:r>
        <w:t>„Trotz des nach</w:t>
      </w:r>
      <w:r w:rsidR="003E2C1E">
        <w:t xml:space="preserve"> </w:t>
      </w:r>
      <w:r>
        <w:t>wie</w:t>
      </w:r>
      <w:r w:rsidR="003E2C1E">
        <w:t xml:space="preserve"> </w:t>
      </w:r>
      <w:r>
        <w:t xml:space="preserve">vor bestehenden Verzugsrisikos gab es im Dezember </w:t>
      </w:r>
      <w:r w:rsidR="00441036">
        <w:t>auch En</w:t>
      </w:r>
      <w:r w:rsidR="00E52711">
        <w:t>tw</w:t>
      </w:r>
      <w:r w:rsidR="00441036">
        <w:t>icklungen</w:t>
      </w:r>
      <w:r>
        <w:t>, die mich positiv stimmen: Wir haben nun in allen Bauteilen den Übergang in die Ausführungsplanung geschafft</w:t>
      </w:r>
      <w:r w:rsidR="003E2C1E">
        <w:t>.</w:t>
      </w:r>
      <w:r>
        <w:t xml:space="preserve"> </w:t>
      </w:r>
      <w:r w:rsidR="003E2C1E">
        <w:t>D</w:t>
      </w:r>
      <w:r>
        <w:t xml:space="preserve">er seit dem Sommer zu beobachtende Anstieg der </w:t>
      </w:r>
      <w:r>
        <w:lastRenderedPageBreak/>
        <w:t xml:space="preserve">Verzögerung hat sich </w:t>
      </w:r>
      <w:r w:rsidR="00534B33">
        <w:t xml:space="preserve">im Dezember </w:t>
      </w:r>
      <w:bookmarkStart w:id="0" w:name="_GoBack"/>
      <w:bookmarkEnd w:id="0"/>
      <w:r>
        <w:t xml:space="preserve">nicht fortgesetzt. Zudem sehen wir trotz der eingepreisten 14 Wochen Verzug seit einigen Monaten eine sinkende </w:t>
      </w:r>
      <w:r w:rsidR="002C1B15">
        <w:t xml:space="preserve">Kostenprognose. Auf dem Weg zur Wiedereröffnung liegen ohne Zweifel für uns noch diverse Hürden, die wir überwinden müssen. Viele Indikatoren weisen </w:t>
      </w:r>
      <w:r w:rsidR="00E52711">
        <w:t xml:space="preserve">dennoch </w:t>
      </w:r>
      <w:r w:rsidR="002C1B15">
        <w:t>aber daraufhin, dass die Richtung stimmt.“, bilanziert Streitberger.</w:t>
      </w:r>
    </w:p>
    <w:p w14:paraId="019AA714" w14:textId="77777777" w:rsidR="005508CF" w:rsidRDefault="005508CF"/>
    <w:p w14:paraId="4E938197" w14:textId="77777777" w:rsidR="008F7793" w:rsidRDefault="008F7793"/>
    <w:p w14:paraId="0BDF6140" w14:textId="77777777" w:rsidR="008F7793" w:rsidRDefault="008F7793"/>
    <w:tbl>
      <w:tblPr>
        <w:tblW w:w="909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3"/>
        <w:gridCol w:w="3353"/>
      </w:tblGrid>
      <w:tr w:rsidR="008F7793" w:rsidRPr="003676CB" w14:paraId="496828E0" w14:textId="77777777" w:rsidTr="004668E6">
        <w:trPr>
          <w:trHeight w:val="265"/>
        </w:trPr>
        <w:tc>
          <w:tcPr>
            <w:tcW w:w="5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98E3" w14:textId="77777777" w:rsidR="008F7793" w:rsidRPr="003676CB" w:rsidRDefault="008F7793" w:rsidP="004668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76CB">
              <w:rPr>
                <w:rFonts w:ascii="Arial" w:hAnsi="Arial" w:cs="Arial"/>
                <w:b/>
                <w:bCs/>
                <w:sz w:val="22"/>
                <w:szCs w:val="22"/>
              </w:rPr>
              <w:t>Die aktuellen Projektdaten als Übersicht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FFEA0" w14:textId="77777777" w:rsidR="008F7793" w:rsidRPr="003676CB" w:rsidRDefault="008F7793" w:rsidP="004668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7793" w:rsidRPr="003676CB" w14:paraId="24660DC7" w14:textId="77777777" w:rsidTr="004668E6">
        <w:trPr>
          <w:trHeight w:val="265"/>
        </w:trPr>
        <w:tc>
          <w:tcPr>
            <w:tcW w:w="5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F0AB" w14:textId="77777777" w:rsidR="008F7793" w:rsidRPr="003676CB" w:rsidRDefault="008F7793" w:rsidP="004668E6">
            <w:pPr>
              <w:rPr>
                <w:rFonts w:ascii="Arial" w:hAnsi="Arial" w:cs="Arial"/>
                <w:sz w:val="22"/>
                <w:szCs w:val="22"/>
              </w:rPr>
            </w:pPr>
            <w:r w:rsidRPr="003676CB">
              <w:rPr>
                <w:rFonts w:ascii="Arial" w:hAnsi="Arial" w:cs="Arial"/>
                <w:b/>
                <w:bCs/>
                <w:sz w:val="22"/>
                <w:szCs w:val="22"/>
              </w:rPr>
              <w:t>Termine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19B0D" w14:textId="77777777" w:rsidR="008F7793" w:rsidRPr="003676CB" w:rsidRDefault="008F7793" w:rsidP="004668E6">
            <w:pPr>
              <w:rPr>
                <w:rFonts w:ascii="Arial" w:hAnsi="Arial" w:cs="Arial"/>
                <w:sz w:val="22"/>
                <w:szCs w:val="22"/>
              </w:rPr>
            </w:pPr>
            <w:r w:rsidRPr="003676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F7793" w:rsidRPr="003676CB" w14:paraId="632FD33C" w14:textId="77777777" w:rsidTr="00EE52BF">
        <w:trPr>
          <w:trHeight w:val="611"/>
        </w:trPr>
        <w:tc>
          <w:tcPr>
            <w:tcW w:w="5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4CC7" w14:textId="77777777" w:rsidR="008F7793" w:rsidRPr="003676CB" w:rsidRDefault="008F7793" w:rsidP="004668E6">
            <w:pPr>
              <w:rPr>
                <w:rFonts w:ascii="Arial" w:hAnsi="Arial" w:cs="Arial"/>
                <w:sz w:val="22"/>
                <w:szCs w:val="22"/>
              </w:rPr>
            </w:pPr>
            <w:r w:rsidRPr="003676CB">
              <w:rPr>
                <w:rFonts w:ascii="Arial" w:hAnsi="Arial" w:cs="Arial"/>
                <w:sz w:val="22"/>
                <w:szCs w:val="22"/>
              </w:rPr>
              <w:t>Schlüsselübergabe an Oper und Schauspiel</w:t>
            </w:r>
          </w:p>
          <w:p w14:paraId="6A2D650D" w14:textId="77777777" w:rsidR="008F7793" w:rsidRPr="003676CB" w:rsidRDefault="008F7793" w:rsidP="004668E6">
            <w:pPr>
              <w:rPr>
                <w:rFonts w:ascii="Arial" w:hAnsi="Arial" w:cs="Arial"/>
                <w:sz w:val="22"/>
                <w:szCs w:val="22"/>
              </w:rPr>
            </w:pPr>
            <w:r w:rsidRPr="003676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AA02D" w14:textId="77777777" w:rsidR="008F7793" w:rsidRPr="003676CB" w:rsidRDefault="008F7793" w:rsidP="004668E6">
            <w:pPr>
              <w:rPr>
                <w:rFonts w:ascii="Arial" w:hAnsi="Arial" w:cs="Arial"/>
                <w:sz w:val="22"/>
                <w:szCs w:val="22"/>
              </w:rPr>
            </w:pPr>
            <w:r w:rsidRPr="003676CB">
              <w:rPr>
                <w:rFonts w:ascii="Arial" w:hAnsi="Arial" w:cs="Arial"/>
                <w:sz w:val="22"/>
                <w:szCs w:val="22"/>
              </w:rPr>
              <w:t>2. Quartal 2023</w:t>
            </w:r>
          </w:p>
        </w:tc>
      </w:tr>
      <w:tr w:rsidR="008F7793" w:rsidRPr="003676CB" w14:paraId="442E6DBD" w14:textId="77777777" w:rsidTr="004668E6">
        <w:trPr>
          <w:trHeight w:val="265"/>
        </w:trPr>
        <w:tc>
          <w:tcPr>
            <w:tcW w:w="5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78C6C" w14:textId="30617DC3" w:rsidR="008F7793" w:rsidRPr="003676CB" w:rsidRDefault="00EE52BF" w:rsidP="00466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Bauk</w:t>
            </w:r>
            <w:r w:rsidR="008F7793" w:rsidRPr="003676CB">
              <w:rPr>
                <w:rFonts w:ascii="Arial" w:hAnsi="Arial" w:cs="Arial"/>
                <w:b/>
                <w:bCs/>
                <w:sz w:val="22"/>
                <w:szCs w:val="22"/>
              </w:rPr>
              <w:t>osten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2ED17" w14:textId="77777777" w:rsidR="008F7793" w:rsidRPr="003676CB" w:rsidRDefault="008F7793" w:rsidP="004668E6">
            <w:pPr>
              <w:rPr>
                <w:rFonts w:ascii="Arial" w:hAnsi="Arial" w:cs="Arial"/>
                <w:sz w:val="22"/>
                <w:szCs w:val="22"/>
              </w:rPr>
            </w:pPr>
            <w:r w:rsidRPr="003676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F7793" w:rsidRPr="003676CB" w14:paraId="2646E50C" w14:textId="77777777" w:rsidTr="004668E6">
        <w:trPr>
          <w:trHeight w:val="654"/>
        </w:trPr>
        <w:tc>
          <w:tcPr>
            <w:tcW w:w="5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FCB2" w14:textId="080B24E4" w:rsidR="008F7793" w:rsidRPr="008238AE" w:rsidRDefault="008F7793" w:rsidP="004668E6">
            <w:pPr>
              <w:rPr>
                <w:rFonts w:ascii="Arial" w:hAnsi="Arial" w:cs="Arial"/>
                <w:sz w:val="22"/>
                <w:szCs w:val="22"/>
              </w:rPr>
            </w:pPr>
            <w:r w:rsidRPr="003676CB">
              <w:rPr>
                <w:rFonts w:ascii="Arial" w:hAnsi="Arial" w:cs="Arial"/>
                <w:sz w:val="22"/>
                <w:szCs w:val="22"/>
              </w:rPr>
              <w:t>Aktuell gültige Kostenprognose</w:t>
            </w:r>
            <w:r w:rsidRPr="003676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3676CB">
              <w:rPr>
                <w:rFonts w:ascii="Arial" w:hAnsi="Arial" w:cs="Arial"/>
                <w:sz w:val="22"/>
                <w:szCs w:val="22"/>
              </w:rPr>
              <w:t>inkl. aller bisherigen Ausgaben:</w:t>
            </w:r>
          </w:p>
          <w:p w14:paraId="54EDDCF3" w14:textId="77777777" w:rsidR="008238AE" w:rsidRDefault="008238AE" w:rsidP="004668E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3A95DC90" w14:textId="77777777" w:rsidR="008238AE" w:rsidRDefault="008238AE" w:rsidP="004668E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C0862CA" w14:textId="77777777" w:rsidR="00F6320B" w:rsidRDefault="00F6320B" w:rsidP="004668E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57CBF295" w14:textId="4464045E" w:rsidR="008F7793" w:rsidRPr="003676CB" w:rsidRDefault="008F7793" w:rsidP="004668E6">
            <w:pPr>
              <w:rPr>
                <w:rFonts w:ascii="Arial" w:hAnsi="Arial" w:cs="Arial"/>
                <w:sz w:val="22"/>
                <w:szCs w:val="22"/>
              </w:rPr>
            </w:pPr>
            <w:r w:rsidRPr="003676CB">
              <w:rPr>
                <w:rFonts w:ascii="Arial" w:hAnsi="Arial" w:cs="Arial"/>
                <w:i/>
                <w:iCs/>
                <w:sz w:val="22"/>
                <w:szCs w:val="22"/>
              </w:rPr>
              <w:t>Zwischenstand 3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  <w:r w:rsidRPr="003676CB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</w:t>
            </w:r>
            <w:r w:rsidRPr="003676CB">
              <w:rPr>
                <w:rFonts w:ascii="Arial" w:hAnsi="Arial" w:cs="Arial"/>
                <w:i/>
                <w:iCs/>
                <w:sz w:val="22"/>
                <w:szCs w:val="22"/>
              </w:rPr>
              <w:t>.2019: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7B1E" w14:textId="77777777" w:rsidR="00F6320B" w:rsidRDefault="00F6320B" w:rsidP="004668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2627A1" w14:textId="000ADFB3" w:rsidR="008F7793" w:rsidRPr="003676CB" w:rsidRDefault="008F7793" w:rsidP="004668E6">
            <w:pPr>
              <w:rPr>
                <w:rFonts w:ascii="Arial" w:hAnsi="Arial" w:cs="Arial"/>
                <w:sz w:val="22"/>
                <w:szCs w:val="22"/>
              </w:rPr>
            </w:pPr>
            <w:r w:rsidRPr="003676CB">
              <w:rPr>
                <w:rFonts w:ascii="Arial" w:hAnsi="Arial" w:cs="Arial"/>
                <w:sz w:val="22"/>
                <w:szCs w:val="22"/>
              </w:rPr>
              <w:t>554 Mio. Euro</w:t>
            </w:r>
          </w:p>
          <w:p w14:paraId="40CB1BBD" w14:textId="77777777" w:rsidR="008F7793" w:rsidRPr="003676CB" w:rsidRDefault="008F7793" w:rsidP="004668E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AF3E9BE" w14:textId="77777777" w:rsidR="008F7793" w:rsidRPr="003676CB" w:rsidRDefault="008F7793" w:rsidP="004668E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A5AEDD3" w14:textId="77777777" w:rsidR="008F7793" w:rsidRPr="003676CB" w:rsidRDefault="008F7793" w:rsidP="004668E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5D627C49" w14:textId="77777777" w:rsidR="008F7793" w:rsidRPr="003676CB" w:rsidRDefault="008F7793" w:rsidP="004668E6">
            <w:pPr>
              <w:rPr>
                <w:rFonts w:ascii="Arial" w:hAnsi="Arial" w:cs="Arial"/>
                <w:sz w:val="22"/>
                <w:szCs w:val="22"/>
              </w:rPr>
            </w:pPr>
            <w:r w:rsidRPr="003676CB">
              <w:rPr>
                <w:rFonts w:ascii="Arial" w:hAnsi="Arial" w:cs="Arial"/>
                <w:i/>
                <w:iCs/>
                <w:sz w:val="22"/>
                <w:szCs w:val="22"/>
              </w:rPr>
              <w:t>55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0 </w:t>
            </w:r>
            <w:r w:rsidRPr="003676CB">
              <w:rPr>
                <w:rFonts w:ascii="Arial" w:hAnsi="Arial" w:cs="Arial"/>
                <w:i/>
                <w:iCs/>
                <w:sz w:val="22"/>
                <w:szCs w:val="22"/>
              </w:rPr>
              <w:t>Mio. Euro</w:t>
            </w:r>
          </w:p>
        </w:tc>
      </w:tr>
      <w:tr w:rsidR="008F7793" w:rsidRPr="003676CB" w14:paraId="2380F2AF" w14:textId="77777777" w:rsidTr="008238AE">
        <w:trPr>
          <w:trHeight w:val="796"/>
        </w:trPr>
        <w:tc>
          <w:tcPr>
            <w:tcW w:w="5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DBFC0" w14:textId="77777777" w:rsidR="008F7793" w:rsidRPr="003676CB" w:rsidRDefault="008F7793" w:rsidP="004668E6">
            <w:pPr>
              <w:rPr>
                <w:rFonts w:ascii="Arial" w:hAnsi="Arial" w:cs="Arial"/>
                <w:sz w:val="22"/>
                <w:szCs w:val="22"/>
              </w:rPr>
            </w:pPr>
            <w:r w:rsidRPr="003676CB">
              <w:rPr>
                <w:rFonts w:ascii="Arial" w:hAnsi="Arial" w:cs="Arial"/>
                <w:sz w:val="22"/>
                <w:szCs w:val="22"/>
              </w:rPr>
              <w:t>Aktuell gültige Kostenprognose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76CB">
              <w:rPr>
                <w:rFonts w:ascii="Arial" w:hAnsi="Arial" w:cs="Arial"/>
                <w:sz w:val="22"/>
                <w:szCs w:val="22"/>
              </w:rPr>
              <w:t>inkl. aller bis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 w:rsidRPr="003676CB">
              <w:rPr>
                <w:rFonts w:ascii="Arial" w:hAnsi="Arial" w:cs="Arial"/>
                <w:sz w:val="22"/>
                <w:szCs w:val="22"/>
              </w:rPr>
              <w:t>heri</w:t>
            </w:r>
            <w:r w:rsidRPr="003676CB">
              <w:rPr>
                <w:rFonts w:ascii="Arial" w:hAnsi="Arial" w:cs="Arial"/>
                <w:sz w:val="22"/>
                <w:szCs w:val="22"/>
              </w:rPr>
              <w:softHyphen/>
              <w:t xml:space="preserve">gen Ausgaben </w:t>
            </w:r>
            <w:r w:rsidRPr="003676CB">
              <w:rPr>
                <w:rFonts w:ascii="Arial" w:hAnsi="Arial" w:cs="Arial"/>
                <w:b/>
                <w:sz w:val="22"/>
                <w:szCs w:val="22"/>
              </w:rPr>
              <w:t>bei Eintritt aller bekannten Risiken</w:t>
            </w:r>
          </w:p>
          <w:p w14:paraId="5841D9AD" w14:textId="77777777" w:rsidR="008F7793" w:rsidRPr="003676CB" w:rsidRDefault="008F7793" w:rsidP="004668E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148B323" w14:textId="77777777" w:rsidR="008F7793" w:rsidRDefault="008F7793" w:rsidP="004668E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D0D3822" w14:textId="77777777" w:rsidR="008F7793" w:rsidRPr="003676CB" w:rsidRDefault="008F7793" w:rsidP="004668E6">
            <w:pPr>
              <w:rPr>
                <w:rFonts w:ascii="Arial" w:hAnsi="Arial" w:cs="Arial"/>
                <w:sz w:val="22"/>
                <w:szCs w:val="22"/>
              </w:rPr>
            </w:pPr>
            <w:r w:rsidRPr="003676CB">
              <w:rPr>
                <w:rFonts w:ascii="Arial" w:hAnsi="Arial" w:cs="Arial"/>
                <w:i/>
                <w:iCs/>
                <w:sz w:val="22"/>
                <w:szCs w:val="22"/>
              </w:rPr>
              <w:t>Zwischenstand 3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  <w:r w:rsidRPr="003676CB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</w:t>
            </w:r>
            <w:r w:rsidRPr="003676CB">
              <w:rPr>
                <w:rFonts w:ascii="Arial" w:hAnsi="Arial" w:cs="Arial"/>
                <w:i/>
                <w:iCs/>
                <w:sz w:val="22"/>
                <w:szCs w:val="22"/>
              </w:rPr>
              <w:t>.2019: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31EA" w14:textId="77777777" w:rsidR="008F7793" w:rsidRPr="003676CB" w:rsidRDefault="008F7793" w:rsidP="004668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9AB55F" w14:textId="77777777" w:rsidR="008F7793" w:rsidRPr="003676CB" w:rsidRDefault="008F7793" w:rsidP="004668E6">
            <w:pPr>
              <w:rPr>
                <w:rFonts w:ascii="Arial" w:hAnsi="Arial" w:cs="Arial"/>
                <w:sz w:val="22"/>
                <w:szCs w:val="22"/>
              </w:rPr>
            </w:pPr>
            <w:r w:rsidRPr="003676CB">
              <w:rPr>
                <w:rFonts w:ascii="Arial" w:hAnsi="Arial" w:cs="Arial"/>
                <w:sz w:val="22"/>
                <w:szCs w:val="22"/>
              </w:rPr>
              <w:t>571 Mio. Euro</w:t>
            </w:r>
          </w:p>
          <w:p w14:paraId="2A2CF5C6" w14:textId="77777777" w:rsidR="008F7793" w:rsidRPr="003676CB" w:rsidRDefault="008F7793" w:rsidP="004668E6">
            <w:pPr>
              <w:rPr>
                <w:rFonts w:ascii="Arial" w:hAnsi="Arial" w:cs="Arial"/>
                <w:sz w:val="22"/>
                <w:szCs w:val="22"/>
              </w:rPr>
            </w:pPr>
            <w:r w:rsidRPr="003676CB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19DD74DD" w14:textId="77777777" w:rsidR="008F7793" w:rsidRDefault="008F7793" w:rsidP="004668E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5FD90425" w14:textId="77777777" w:rsidR="008F7793" w:rsidRPr="003676CB" w:rsidRDefault="008F7793" w:rsidP="004668E6">
            <w:pPr>
              <w:rPr>
                <w:rFonts w:ascii="Arial" w:hAnsi="Arial" w:cs="Arial"/>
                <w:sz w:val="22"/>
                <w:szCs w:val="22"/>
              </w:rPr>
            </w:pPr>
            <w:r w:rsidRPr="003676CB">
              <w:rPr>
                <w:rFonts w:ascii="Arial" w:hAnsi="Arial" w:cs="Arial"/>
                <w:i/>
                <w:iCs/>
                <w:sz w:val="22"/>
                <w:szCs w:val="22"/>
              </w:rPr>
              <w:t>57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  <w:r w:rsidRPr="003676C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Mio. Euro</w:t>
            </w:r>
          </w:p>
        </w:tc>
      </w:tr>
      <w:tr w:rsidR="003B03E9" w:rsidRPr="003B03E9" w14:paraId="72F05553" w14:textId="77777777" w:rsidTr="003B03E9">
        <w:trPr>
          <w:trHeight w:val="216"/>
        </w:trPr>
        <w:tc>
          <w:tcPr>
            <w:tcW w:w="5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08B1" w14:textId="39F2C73E" w:rsidR="003B03E9" w:rsidRPr="003B03E9" w:rsidRDefault="003B03E9" w:rsidP="004668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03E9">
              <w:rPr>
                <w:rFonts w:ascii="Arial" w:hAnsi="Arial" w:cs="Arial"/>
                <w:b/>
                <w:sz w:val="22"/>
                <w:szCs w:val="22"/>
              </w:rPr>
              <w:t>Sonstige Kosten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2885" w14:textId="77777777" w:rsidR="003B03E9" w:rsidRPr="003B03E9" w:rsidRDefault="003B03E9" w:rsidP="004668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03E9" w:rsidRPr="003B03E9" w14:paraId="52529486" w14:textId="77777777" w:rsidTr="008238AE">
        <w:trPr>
          <w:trHeight w:val="518"/>
        </w:trPr>
        <w:tc>
          <w:tcPr>
            <w:tcW w:w="5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9FE76" w14:textId="77777777" w:rsidR="008238AE" w:rsidRDefault="008238AE" w:rsidP="004668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C13633" w14:textId="5CE174D5" w:rsidR="003B03E9" w:rsidRPr="003B03E9" w:rsidRDefault="003B03E9" w:rsidP="00466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Finanzierungskosten (u.a. Zinsen über 40 Jahre) und sonstige Kosten (u.a. Machbarkeitsstudie)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A7F12" w14:textId="77777777" w:rsidR="008238AE" w:rsidRDefault="008238AE" w:rsidP="004668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8C569E" w14:textId="77777777" w:rsidR="008238AE" w:rsidRDefault="008238AE" w:rsidP="004668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494114" w14:textId="49F3EB07" w:rsidR="003B03E9" w:rsidRPr="003B03E9" w:rsidRDefault="003B03E9" w:rsidP="00466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 Mio. Euro</w:t>
            </w:r>
          </w:p>
        </w:tc>
      </w:tr>
    </w:tbl>
    <w:p w14:paraId="24EAE4FD" w14:textId="77777777" w:rsidR="008F7793" w:rsidRDefault="008F7793"/>
    <w:p w14:paraId="595961C5" w14:textId="77777777" w:rsidR="003B03E9" w:rsidRDefault="003B03E9"/>
    <w:p w14:paraId="45739E51" w14:textId="77777777" w:rsidR="003B03E9" w:rsidRDefault="003B03E9"/>
    <w:p w14:paraId="6E373899" w14:textId="77777777" w:rsidR="003B03E9" w:rsidRDefault="003B03E9"/>
    <w:p w14:paraId="625F8757" w14:textId="1B08351F" w:rsidR="008F7793" w:rsidRPr="00D30A4E" w:rsidRDefault="008F7793"/>
    <w:sectPr w:rsidR="008F7793" w:rsidRPr="00D30A4E" w:rsidSect="006315F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4E"/>
    <w:rsid w:val="00096264"/>
    <w:rsid w:val="000C546C"/>
    <w:rsid w:val="00107E97"/>
    <w:rsid w:val="00125EC6"/>
    <w:rsid w:val="00175465"/>
    <w:rsid w:val="001D0CC6"/>
    <w:rsid w:val="002C1B15"/>
    <w:rsid w:val="00304257"/>
    <w:rsid w:val="00310274"/>
    <w:rsid w:val="003B03E9"/>
    <w:rsid w:val="003D0DFA"/>
    <w:rsid w:val="003E2C1E"/>
    <w:rsid w:val="00441036"/>
    <w:rsid w:val="004E3E9F"/>
    <w:rsid w:val="004F3DA5"/>
    <w:rsid w:val="00513BB7"/>
    <w:rsid w:val="00534B33"/>
    <w:rsid w:val="00542975"/>
    <w:rsid w:val="005508CF"/>
    <w:rsid w:val="006127AD"/>
    <w:rsid w:val="006315FF"/>
    <w:rsid w:val="006D22EE"/>
    <w:rsid w:val="00731267"/>
    <w:rsid w:val="007B663A"/>
    <w:rsid w:val="008238AE"/>
    <w:rsid w:val="008F7793"/>
    <w:rsid w:val="00995FA7"/>
    <w:rsid w:val="009C560F"/>
    <w:rsid w:val="00A55097"/>
    <w:rsid w:val="00A55430"/>
    <w:rsid w:val="00AB6FB8"/>
    <w:rsid w:val="00AF74D8"/>
    <w:rsid w:val="00B04DBF"/>
    <w:rsid w:val="00B77F45"/>
    <w:rsid w:val="00C819A8"/>
    <w:rsid w:val="00C90C6D"/>
    <w:rsid w:val="00CD6BC5"/>
    <w:rsid w:val="00CE56F5"/>
    <w:rsid w:val="00CF0074"/>
    <w:rsid w:val="00D30A4E"/>
    <w:rsid w:val="00D310B6"/>
    <w:rsid w:val="00E52711"/>
    <w:rsid w:val="00ED32CB"/>
    <w:rsid w:val="00EE52BF"/>
    <w:rsid w:val="00F6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782A"/>
  <w15:chartTrackingRefBased/>
  <w15:docId w15:val="{7B7B6989-D12A-4844-B33A-EDC49777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007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6F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6F5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2C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C1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2C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C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C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Braun</dc:creator>
  <cp:keywords/>
  <dc:description/>
  <cp:lastModifiedBy>Christopher Braun</cp:lastModifiedBy>
  <cp:revision>10</cp:revision>
  <cp:lastPrinted>2020-01-14T15:03:00Z</cp:lastPrinted>
  <dcterms:created xsi:type="dcterms:W3CDTF">2020-01-14T14:25:00Z</dcterms:created>
  <dcterms:modified xsi:type="dcterms:W3CDTF">2020-01-15T12:09:00Z</dcterms:modified>
</cp:coreProperties>
</file>